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A278C3" w:rsidP="00A278C3">
      <w:pPr>
        <w:pBdr>
          <w:top w:val="single" w:sz="4" w:space="1" w:color="auto"/>
          <w:left w:val="single" w:sz="4" w:space="4" w:color="auto"/>
          <w:bottom w:val="single" w:sz="4" w:space="1" w:color="auto"/>
          <w:right w:val="single" w:sz="4" w:space="4" w:color="auto"/>
        </w:pBdr>
        <w:jc w:val="center"/>
        <w:rPr>
          <w:rFonts w:ascii="Calibri" w:hAnsi="Calibri"/>
          <w:b/>
          <w:i/>
          <w:sz w:val="32"/>
        </w:rPr>
      </w:pPr>
      <w:r w:rsidRPr="00A278C3">
        <w:rPr>
          <w:rFonts w:ascii="Calibri" w:hAnsi="Calibri"/>
          <w:b/>
          <w:i/>
          <w:noProof/>
          <w:sz w:val="32"/>
        </w:rPr>
        <w:t>Cardiothoracic Surgery</w:t>
      </w:r>
      <w:r w:rsidRPr="00A278C3">
        <w:rPr>
          <w:rFonts w:ascii="Calibri" w:hAnsi="Calibri"/>
          <w:b/>
          <w:i/>
          <w:sz w:val="32"/>
        </w:rPr>
        <w:t xml:space="preserve"> Morbidity and Mortality Review Committee</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Speaker:</w:t>
      </w:r>
      <w:r w:rsidRPr="00A278C3">
        <w:rPr>
          <w:rFonts w:ascii="Calibri" w:hAnsi="Calibri"/>
          <w:b/>
        </w:rPr>
        <w:t xml:space="preserve"> </w:t>
      </w:r>
    </w:p>
    <w:p w:rsidR="00CB15D8" w:rsidP="00DA435B">
      <w:pPr>
        <w:contextualSpacing/>
        <w:rPr>
          <w:rFonts w:ascii="Calibri" w:hAnsi="Calibri"/>
          <w:b/>
          <w:i/>
        </w:rPr>
      </w:pPr>
      <w:r>
        <w:rPr>
          <w:rFonts w:ascii="Calibri" w:hAnsi="Calibri"/>
          <w:b/>
          <w:i/>
        </w:rPr>
        <w:t>Description</w:t>
      </w:r>
      <w:r w:rsidRPr="003A3CD9" w:rsidR="00561B2E">
        <w:rPr>
          <w:rFonts w:ascii="Calibri" w:hAnsi="Calibri"/>
          <w:b/>
          <w:i/>
        </w:rPr>
        <w:t>:</w:t>
      </w:r>
    </w:p>
    <w:p w:rsidR="00DA435B" w:rsidRPr="008044DA">
      <w:pPr>
        <w:bidi w:val="0"/>
        <w:spacing w:after="280" w:afterAutospacing="1"/>
        <w:rPr>
          <w:rFonts w:ascii="Calibri" w:hAnsi="Calibri"/>
          <w:iCs/>
        </w:rPr>
      </w:pPr>
      <w:r>
        <w:rPr>
          <w:rtl w:val="0"/>
        </w:rPr>
        <w:t>The Division of Cardiothoracic Surgery M&amp;M (Morbidity and Mortality) Conference features complications submitted and presented by residents involved in those cases. Cases are submitted to a secure database each week and are reviewed and selected for presentation by the faculty moderator. Residents focus their presentations on what happened to cause the complication and what could be done to prevent the complication for future cases (increase medical knowledge, improve systems-based issues, improve team communication) and cite scholarly works to further back up their presentations.</w:t>
      </w:r>
    </w:p>
    <w:p>
      <w:pPr>
        <w:bidi w:val="0"/>
        <w:spacing w:after="280" w:afterAutospacing="1"/>
        <w:rPr>
          <w:rtl w:val="0"/>
        </w:rPr>
      </w:pPr>
      <w:r>
        <w:rPr>
          <w:rtl w:val="0"/>
        </w:rPr>
        <w:t> </w:t>
      </w:r>
    </w:p>
    <w:p>
      <w:pPr>
        <w:bidi w:val="0"/>
        <w:spacing w:after="280" w:afterAutospacing="1"/>
        <w:rPr>
          <w:rtl w:val="0"/>
        </w:rPr>
      </w:pPr>
      <w:r>
        <w:rPr>
          <w:rtl w:val="0"/>
        </w:rPr>
        <w:t>For questions regarding this Regularly Scheduled Series and to obtain the webinar link, contact the Department of Surgery directly.</w:t>
      </w:r>
    </w:p>
    <w:p w:rsidRPr="008044DA">
      <w:pPr>
        <w:bidi w:val="0"/>
        <w:spacing w:after="280" w:afterAutospacing="1"/>
        <w:rPr>
          <w:rFonts w:ascii="Calibri" w:hAnsi="Calibri"/>
          <w:iCs/>
          <w:noProof/>
        </w:rPr>
      </w:pPr>
    </w:p>
    <w:p w:rsidR="008044DA"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t>
      </w:r>
      <w:r w:rsidR="00A278C3">
        <w:rPr>
          <w:rFonts w:ascii="Calibri" w:hAnsi="Calibri"/>
          <w:b/>
        </w:rPr>
        <w:t>should</w:t>
      </w:r>
      <w:r w:rsidRPr="003A3CD9">
        <w:rPr>
          <w:rFonts w:ascii="Calibri" w:hAnsi="Calibri"/>
          <w:b/>
        </w:rPr>
        <w:t xml:space="preserve"> be able to:</w:t>
      </w:r>
    </w:p>
    <w:p w:rsidR="00DA435B" w:rsidP="00561B2E">
      <w:pPr>
        <w:spacing w:after="120"/>
        <w:rPr>
          <w:rFonts w:ascii="Calibri" w:hAnsi="Calibri"/>
          <w:bCs/>
          <w:iCs/>
        </w:rPr>
      </w:pPr>
      <w:r w:rsidR="002A0FE1">
        <w:rPr>
          <w:rFonts w:ascii="Calibri" w:hAnsi="Calibri"/>
          <w:noProof/>
        </w:rPr>
        <w:t>1 Discuss</w:t>
      </w:r>
      <w:r>
        <w:rPr>
          <w:rFonts w:ascii="Calibri" w:hAnsi="Calibri"/>
          <w:noProof/>
        </w:rPr>
        <w:t xml:space="preserve"> and analyze patient cases with the healthcare team. </w:t>
      </w:r>
    </w:p>
    <w:p w:rsidP="00561B2E">
      <w:pPr>
        <w:spacing w:after="120"/>
        <w:rPr>
          <w:rFonts w:ascii="Calibri" w:hAnsi="Calibri"/>
          <w:noProof/>
        </w:rPr>
      </w:pPr>
      <w:r>
        <w:rPr>
          <w:rFonts w:ascii="Calibri" w:hAnsi="Calibri"/>
          <w:noProof/>
        </w:rPr>
        <w:t>2 Develop strategies and a team approach to prevent complications from medical procedures.</w:t>
      </w:r>
    </w:p>
    <w:p w:rsidR="00DA435B" w:rsidP="00561B2E">
      <w:pPr>
        <w:spacing w:after="120"/>
        <w:rPr>
          <w:rFonts w:ascii="Calibri" w:hAnsi="Calibri"/>
          <w:bCs/>
          <w:iCs/>
        </w:rPr>
      </w:pPr>
      <w:r>
        <w:rPr>
          <w:rFonts w:ascii="Calibri" w:hAnsi="Calibri"/>
          <w:noProof/>
        </w:rPr>
        <w:t xml:space="preserve">3 Identify practice related quality and safety issues. </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7/20/2023 5:00 AM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7/20/2023 5:00 AM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sidR="00A278C3">
        <w:rPr>
          <w:rFonts w:ascii="Calibri" w:hAnsi="Calibri"/>
          <w:b/>
          <w:i/>
        </w:rPr>
        <w:t>:</w:t>
      </w:r>
      <w:r w:rsidRPr="00A278C3">
        <w:rPr>
          <w:rFonts w:ascii="Calibri" w:hAnsi="Calibri"/>
          <w:b/>
        </w:rPr>
        <w:t xml:space="preserve"> </w:t>
      </w:r>
      <w:r w:rsidRPr="00A278C3" w:rsidR="002A0FE1">
        <w:rPr>
          <w:rFonts w:ascii="Calibri" w:hAnsi="Calibri"/>
          <w:noProof/>
        </w:rPr>
        <w:t>Live In-Person</w:t>
      </w:r>
      <w:r w:rsidRPr="00A278C3" w:rsidR="00DE047C">
        <w:rPr>
          <w:rFonts w:ascii="Calibri" w:hAnsi="Calibri"/>
          <w:noProof/>
        </w:rPr>
        <w:t xml:space="preserve"> (rotating location) or Live Zoom Webinar</w:t>
      </w:r>
    </w:p>
    <w:p w:rsidR="00B5749B" w:rsidP="00B5749B">
      <w:pPr>
        <w:rPr>
          <w:rFonts w:ascii="Calibri" w:hAnsi="Calibri"/>
          <w:b/>
          <w:i/>
        </w:rPr>
      </w:pPr>
      <w:r w:rsidRPr="003A3CD9">
        <w:rPr>
          <w:rFonts w:ascii="Calibri" w:hAnsi="Calibri"/>
          <w:b/>
          <w:i/>
        </w:rPr>
        <w:t>Accreditation</w:t>
      </w:r>
      <w:r w:rsidR="00E11BC6">
        <w:rPr>
          <w:rFonts w:ascii="Calibri" w:hAnsi="Calibri"/>
          <w:b/>
          <w:i/>
        </w:rPr>
        <w:t xml:space="preserve"> Statement</w:t>
      </w:r>
      <w:r w:rsidRPr="003A3CD9">
        <w:rPr>
          <w:rFonts w:ascii="Calibri" w:hAnsi="Calibri"/>
          <w:b/>
          <w:i/>
        </w:rPr>
        <w:t>:</w:t>
      </w:r>
    </w:p>
    <w:tbl>
      <w:tblPr>
        <w:tblStyle w:val="TableGrid"/>
        <w:tblW w:w="0" w:type="auto"/>
        <w:tblBorders>
          <w:top w:val="nil"/>
          <w:left w:val="nil"/>
          <w:bottom w:val="nil"/>
          <w:right w:val="nil"/>
          <w:insideH w:val="nil"/>
          <w:insideV w:val="nil"/>
        </w:tblBorders>
        <w:tblLook w:val="04A0"/>
      </w:tblPr>
      <w:tblGrid>
        <w:gridCol w:w="2065"/>
        <w:gridCol w:w="7285"/>
      </w:tblGrid>
      <w:tr w:rsidTr="00E11BC6">
        <w:tblPrEx>
          <w:tblW w:w="0" w:type="auto"/>
          <w:tblBorders>
            <w:top w:val="nil"/>
            <w:left w:val="nil"/>
            <w:bottom w:val="nil"/>
            <w:right w:val="nil"/>
            <w:insideH w:val="nil"/>
            <w:insideV w:val="nil"/>
          </w:tblBorders>
          <w:tblLook w:val="04A0"/>
        </w:tblPrEx>
        <w:tc>
          <w:tcPr>
            <w:tcW w:w="2065" w:type="dxa"/>
          </w:tcPr>
          <w:p w:rsidR="00E11BC6" w:rsidP="00B5749B">
            <w:pPr>
              <w:rPr>
                <w:rFonts w:ascii="Calibri" w:hAnsi="Calibri"/>
                <w:b/>
                <w:i/>
              </w:rPr>
            </w:pPr>
            <w:r>
              <w:rPr>
                <w:noProof/>
              </w:rPr>
              <w:drawing>
                <wp:inline distT="0" distB="0" distL="0" distR="0">
                  <wp:extent cx="1085850" cy="695325"/>
                  <wp:effectExtent l="0" t="0" r="0" b="3175"/>
                  <wp:docPr id="20" name="Picture 2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10;&#10;Description automatically generated"/>
                          <pic:cNvPicPr>
                            <a:picLocks/>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tc>
        <w:tc>
          <w:tcPr>
            <w:tcW w:w="7285" w:type="dxa"/>
          </w:tcPr>
          <w:p w:rsidR="00E11BC6" w:rsidP="00E11BC6">
            <w:pPr>
              <w:rPr>
                <w:rFonts w:ascii="Calibri" w:hAnsi="Calibri"/>
                <w:b/>
                <w:i/>
              </w:rPr>
            </w:pPr>
            <w:r>
              <w:rPr>
                <w:rFonts w:ascii="Calibri" w:hAnsi="Calibri"/>
                <w:bCs/>
                <w:iCs/>
              </w:rPr>
              <w:t xml:space="preserve">In support of improving patient care, University of Minnesota, </w:t>
            </w:r>
            <w:r>
              <w:rPr>
                <w:rFonts w:ascii="Calibri" w:hAnsi="Calibri"/>
                <w:bCs/>
                <w:iCs/>
              </w:rPr>
              <w:t>Interprofessional</w:t>
            </w:r>
            <w:r>
              <w:rPr>
                <w:rFonts w:ascii="Calibri" w:hAnsi="Calibri"/>
                <w:bCs/>
                <w:iCs/>
              </w:rPr>
              <w:t xml:space="preserve">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E11BC6" w:rsidP="00B5749B">
      <w:pPr>
        <w:rPr>
          <w:rFonts w:ascii="Calibri" w:hAnsi="Calibri"/>
          <w:b/>
          <w:i/>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2.50</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2.50</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2.50</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2.50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instrText>2.50</w:instrText>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t>American Nurses Credentialing Center (ANCC)</w: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t xml:space="preserve">This activity is awarded up to </w:t>
      </w:r>
      <w:r w:rsidRPr="0062535C">
        <w:rPr>
          <w:rFonts w:ascii="Calibri" w:hAnsi="Calibri" w:cs="Calibri"/>
          <w:bCs/>
          <w:color w:val="000000"/>
        </w:rPr>
        <w:t>2.50</w:t>
      </w:r>
      <w:r w:rsidRPr="0062535C">
        <w:rPr>
          <w:rFonts w:ascii="Calibri" w:hAnsi="Calibri" w:cs="Calibri"/>
          <w:bCs/>
          <w:color w:val="000000"/>
        </w:rPr>
        <w:t xml:space="preserve"> ANCC contact hours.</w:t>
      </w:r>
    </w:p>
    <w:p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fldChar w:fldCharType="end"/>
      </w:r>
      <w:r w:rsidR="00B746E7">
        <w:rPr>
          <w:rFonts w:ascii="Calibri" w:hAnsi="Calibri" w:cs="Calibri"/>
          <w:color w:val="000000"/>
        </w:rPr>
        <w:fldChar w:fldCharType="begin"/>
      </w:r>
      <w:r w:rsidR="00B746E7">
        <w:rPr>
          <w:rFonts w:ascii="Calibri" w:hAnsi="Calibri" w:cs="Calibri"/>
          <w:color w:val="000000"/>
        </w:rPr>
        <w:instrText xml:space="preserve"> IF </w:instrText>
      </w:r>
      <w:r w:rsidR="00B746E7">
        <w:rPr>
          <w:rFonts w:ascii="Calibri" w:hAnsi="Calibri" w:cs="Calibri"/>
          <w:color w:val="000000"/>
        </w:rPr>
        <w:instrText>0.00</w:instrText>
      </w:r>
      <w:r w:rsidR="00B746E7">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fldChar w:fldCharType="begin"/>
      </w:r>
      <w:r>
        <w:rPr>
          <w:rFonts w:ascii="Calibri" w:hAnsi="Calibri" w:cs="Calibri"/>
          <w:color w:val="000000"/>
        </w:rPr>
        <w:instrText xml:space="preserve"> MERGEFIELD ACPEHoursMax \# 0.00# </w:instrText>
      </w:r>
      <w:r>
        <w:rPr>
          <w:rFonts w:ascii="Calibri" w:hAnsi="Calibri" w:cs="Calibri"/>
          <w:color w:val="000000"/>
        </w:rPr>
        <w:fldChar w:fldCharType="separate"/>
      </w:r>
      <w:r>
        <w:rPr>
          <w:rFonts w:ascii="Calibri" w:hAnsi="Calibri" w:cs="Calibri"/>
          <w:color w:val="000000"/>
        </w:rPr>
        <w:fldChar w:fldCharType="end"/>
      </w:r>
      <w:r w:rsidRPr="00B746E7">
        <w:rPr>
          <w:rFonts w:ascii="Calibri" w:hAnsi="Calibri" w:cs="Calibri"/>
          <w:color w:val="000000"/>
        </w:rPr>
        <w:instrText xml:space="preserve"> ACPE contact hours. </w:instrText>
      </w:r>
      <w:r w:rsidRPr="00DD7A0C" w:rsidR="00DD7A0C">
        <w:rPr>
          <w:rFonts w:asciiTheme="majorHAnsi" w:hAnsiTheme="majorHAnsi" w:cstheme="majorHAnsi"/>
          <w:color w:val="000000"/>
          <w:shd w:val="clear" w:color="auto" w:fill="FFFFFF"/>
        </w:rPr>
        <w:instrText>Pharmacists must ensure that their profile in CE Portal includes their NABP # and month and date of birth; this is the information OCPD will use to upload completion data to The Monitor®. OCPD will complete the upload within four weeks of the conclusion of the session. Due to required limits on reporting data to the Monitor®, failure to include this information may prevent your completion data from being uploaded to the Monitor®</w:instrText>
      </w:r>
      <w:r w:rsidR="00DD7A0C">
        <w:rPr>
          <w:rFonts w:ascii="Arial" w:hAnsi="Arial" w:cs="Arial"/>
          <w:color w:val="000000"/>
          <w:shd w:val="clear" w:color="auto" w:fill="FFFFFF"/>
        </w:rPr>
        <w:instrText>.</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r>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LADCHoursMax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LPCCHoursMax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D45C98" w:rsidRPr="003A4ED3" w:rsidP="00D45C98">
      <w:pPr>
        <w:autoSpaceDE w:val="0"/>
        <w:autoSpaceDN w:val="0"/>
        <w:adjustRightInd w:val="0"/>
        <w:contextualSpacing/>
        <w:rPr>
          <w:rFonts w:asciiTheme="majorHAnsi" w:hAnsiTheme="majorHAns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008A7BAF">
        <w:rPr>
          <w:rFonts w:asciiTheme="majorHAnsi" w:hAnsiTheme="majorHAnsi"/>
          <w:noProof/>
          <w:color w:val="000000"/>
        </w:rPr>
        <w:instrText>0.00</w:instrText>
      </w:r>
      <w:r w:rsidRPr="003A4ED3">
        <w:rPr>
          <w:rFonts w:asciiTheme="majorHAnsi" w:hAnsiTheme="majorHAnsi"/>
          <w:color w:val="000000"/>
        </w:rPr>
        <w:instrText xml:space="preserve"> &gt;</w:instrText>
      </w:r>
      <w:r w:rsidR="00F6082A">
        <w:rPr>
          <w:rFonts w:asciiTheme="majorHAnsi" w:hAnsiTheme="majorHAnsi"/>
          <w:color w:val="000000"/>
        </w:rPr>
        <w:instrText xml:space="preserve"> </w:instrText>
      </w:r>
      <w:r w:rsidRPr="003A4ED3">
        <w:rPr>
          <w:rFonts w:asciiTheme="majorHAnsi" w:hAnsiTheme="majorHAnsi"/>
          <w:color w:val="000000"/>
        </w:rPr>
        <w:instrText>0 "</w:instrText>
      </w:r>
    </w:p>
    <w:p w:rsidR="00D45C98" w:rsidRPr="003A4ED3" w:rsidP="00D45C98">
      <w:pPr>
        <w:autoSpaceDE w:val="0"/>
        <w:autoSpaceDN w:val="0"/>
        <w:adjustRightInd w:val="0"/>
        <w:contextualSpacing/>
        <w:rPr>
          <w:rFonts w:asciiTheme="majorHAnsi" w:hAnsiTheme="majorHAnsi"/>
          <w:b/>
          <w:color w:val="000000"/>
        </w:rPr>
      </w:pPr>
      <w:r w:rsidRPr="003A4ED3">
        <w:rPr>
          <w:rFonts w:asciiTheme="majorHAnsi" w:hAnsiTheme="majorHAnsi"/>
          <w:b/>
          <w:color w:val="000000"/>
        </w:rPr>
        <w:instrText>American Board of Pediatrics Maintenance of Certification (MOC) Part II</w:instrText>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Successful completion of this CME activity, which includes participation in the activity, with individual assessments of the participant and feedback to the participant, enables the participant to earn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ABPHoursMax \* MERGEFORMAT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MOC points in the American Board of Pediatrics' (ABP) Maintenance of Certification (MOC) program. It is the CME activity provider's responsibility to submit participant completion information to ACCME for the purpose of granting ABP MOC credit.</w:instrText>
      </w:r>
    </w:p>
    <w:p w:rsidR="00D45C98" w:rsidRPr="003A4ED3" w:rsidP="00D45C98">
      <w:pPr>
        <w:autoSpaceDE w:val="0"/>
        <w:autoSpaceDN w:val="0"/>
        <w:adjustRightInd w:val="0"/>
        <w:contextualSpacing/>
        <w:rPr>
          <w:rFonts w:asciiTheme="majorHAnsi" w:hAnsiTheme="majorHAns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instrText>
      </w:r>
    </w:p>
    <w:p w:rsidR="00D45C98" w:rsidRPr="003A4ED3" w:rsidP="00D45C98">
      <w:pPr>
        <w:autoSpaceDE w:val="0"/>
        <w:autoSpaceDN w:val="0"/>
        <w:adjustRightInd w:val="0"/>
        <w:contextualSpacing/>
        <w:rPr>
          <w:rFonts w:asciiTheme="majorHAnsi" w:hAnsiTheme="majorHAnsi"/>
          <w: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In the event that an individual session is not offering to test and earn ABP MOC Part II, it will be announced prior to the start of the session.</w:instrText>
      </w:r>
    </w:p>
    <w:p w:rsidR="009A054D" w:rsidP="008733B4">
      <w:pPr>
        <w:autoSpaceDE w:val="0"/>
        <w:autoSpaceDN w:val="0"/>
        <w:adjustRightInd w:val="0"/>
        <w:contextualSpacing/>
        <w:rPr>
          <w:rFonts w:asciiTheme="majorHAnsi" w:hAnsiTheme="majorHAnsi"/>
          <w:color w:val="000000"/>
        </w:rPr>
      </w:pPr>
      <w:r w:rsidRPr="003A4ED3">
        <w:rPr>
          <w:rFonts w:asciiTheme="majorHAnsi" w:hAnsiTheme="majorHAnsi"/>
          <w:i/>
          <w:color w:val="000000"/>
        </w:rPr>
        <w:instrText>"</w:instrText>
      </w:r>
      <w:r w:rsidR="00F6082A">
        <w:rPr>
          <w:rFonts w:asciiTheme="majorHAnsi" w:hAnsiTheme="majorHAnsi"/>
          <w:i/>
          <w:color w:val="000000"/>
        </w:rPr>
        <w:instrText xml:space="preserve"> </w:instrText>
      </w:r>
      <w:r w:rsidRPr="003A4ED3">
        <w:rPr>
          <w:rFonts w:asciiTheme="majorHAnsi" w:hAnsiTheme="majorHAnsi"/>
          <w:i/>
          <w:color w:val="000000"/>
        </w:rPr>
        <w:instrText xml:space="preserv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008733B4">
        <w:rPr>
          <w:rFonts w:asciiTheme="majorHAnsi" w:hAnsiTheme="majorHAnsi"/>
          <w:color w:val="000000"/>
        </w:rPr>
        <w:fldChar w:fldCharType="begin"/>
      </w:r>
      <w:r w:rsidR="00707C2D">
        <w:rPr>
          <w:rFonts w:asciiTheme="majorHAnsi" w:hAnsiTheme="majorHAnsi"/>
          <w:color w:val="000000"/>
        </w:rPr>
        <w:instrText xml:space="preserve"> IF </w:instrText>
      </w:r>
      <w:r>
        <w:rPr>
          <w:rFonts w:asciiTheme="majorHAnsi" w:hAnsiTheme="majorHAnsi"/>
          <w:noProof/>
          <w:color w:val="000000"/>
        </w:rPr>
        <w:instrText>2.50</w:instrText>
      </w:r>
      <w:r w:rsidR="00DE112A">
        <w:rPr>
          <w:rFonts w:asciiTheme="majorHAnsi" w:hAnsiTheme="majorHAnsi"/>
          <w:color w:val="000000"/>
        </w:rPr>
        <w:instrText xml:space="preserve"> </w:instrText>
      </w:r>
      <w:r>
        <w:rPr>
          <w:rFonts w:asciiTheme="majorHAnsi" w:hAnsiTheme="majorHAnsi"/>
          <w:color w:val="000000"/>
        </w:rPr>
        <w:instrText>&gt;</w:instrText>
      </w:r>
      <w:r w:rsidR="00DE112A">
        <w:rPr>
          <w:rFonts w:asciiTheme="majorHAnsi" w:hAnsiTheme="majorHAnsi"/>
          <w:color w:val="000000"/>
        </w:rPr>
        <w:instrText xml:space="preserve"> </w:instrText>
      </w:r>
      <w:r>
        <w:rPr>
          <w:rFonts w:asciiTheme="majorHAnsi" w:hAnsiTheme="majorHAnsi"/>
          <w:color w:val="000000"/>
        </w:rPr>
        <w:instrText>0"</w:instrText>
      </w:r>
    </w:p>
    <w:p w:rsidR="009A054D" w:rsidRPr="00B832A3" w:rsidP="009A054D">
      <w:pPr>
        <w:autoSpaceDE w:val="0"/>
        <w:autoSpaceDN w:val="0"/>
        <w:adjustRightInd w:val="0"/>
        <w:contextualSpacing/>
        <w:rPr>
          <w:rFonts w:ascii="Calibri" w:hAnsi="Calibri" w:cs="Calibri"/>
          <w:color w:val="000000"/>
          <w:szCs w:val="22"/>
        </w:rPr>
      </w:pPr>
      <w:r w:rsidRPr="00B832A3">
        <w:rPr>
          <w:rFonts w:ascii="Calibri" w:hAnsi="Calibri" w:cs="Calibri"/>
          <w:b/>
          <w:color w:val="000000"/>
          <w:szCs w:val="22"/>
        </w:rPr>
        <w:instrText>American Academy of Physician Assistants (AAPA)</w:instrText>
      </w:r>
    </w:p>
    <w:p w:rsidR="009A054D" w:rsidRPr="00B832A3" w:rsidP="009A054D">
      <w:pPr>
        <w:autoSpaceDE w:val="0"/>
        <w:autoSpaceDN w:val="0"/>
        <w:adjustRightInd w:val="0"/>
        <w:contextualSpacing/>
        <w:rPr>
          <w:rFonts w:ascii="Calibri" w:hAnsi="Calibri" w:cs="Calibri"/>
          <w:color w:val="000000"/>
          <w:szCs w:val="22"/>
        </w:rPr>
      </w:pPr>
      <w:r w:rsidRPr="00B832A3">
        <w:rPr>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654050" cy="631825"/>
            <wp:effectExtent l="0" t="0" r="0" b="0"/>
            <wp:wrapSquare wrapText="bothSides"/>
            <wp:docPr id="5" name="Picture 5" descr="https://www.aapa.org/wp-content/uploads/2022/06/aapa_Cat1_CME-30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pa.org/wp-content/uploads/2022/06/aapa_Cat1_CME-300x290.pn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654050" cy="631825"/>
                    </a:xfrm>
                    <a:prstGeom prst="rect">
                      <a:avLst/>
                    </a:prstGeom>
                    <a:noFill/>
                    <a:ln>
                      <a:noFill/>
                    </a:ln>
                  </pic:spPr>
                </pic:pic>
              </a:graphicData>
            </a:graphic>
          </wp:anchor>
        </w:drawing>
      </w:r>
      <w:r w:rsidRPr="00B832A3">
        <w:rPr>
          <w:rFonts w:ascii="Calibri" w:hAnsi="Calibri" w:cs="Calibri"/>
          <w:color w:val="000000"/>
          <w:szCs w:val="22"/>
        </w:rPr>
        <w:instrText>University of Minnesota, Interprofessional Continuing Education has been authorized by the American Academy of PAs (AAPA) to award AAPA Category 1 CME credit for activities planned in accordance with AAPA CME Criteria. This activity is designate</w:instrText>
      </w:r>
      <w:bookmarkStart w:id="0" w:name="_GoBack"/>
      <w:bookmarkEnd w:id="0"/>
      <w:r w:rsidRPr="00B832A3">
        <w:rPr>
          <w:rFonts w:ascii="Calibri" w:hAnsi="Calibri" w:cs="Calibri"/>
          <w:color w:val="000000"/>
          <w:szCs w:val="22"/>
        </w:rPr>
        <w:instrText xml:space="preserve">d for </w:instrText>
      </w:r>
      <w:r w:rsidRPr="00B832A3">
        <w:rPr>
          <w:rFonts w:ascii="Calibri" w:hAnsi="Calibri" w:cs="Calibri"/>
          <w:noProof/>
          <w:color w:val="000000"/>
          <w:szCs w:val="22"/>
        </w:rPr>
        <w:instrText>2.50</w:instrText>
      </w:r>
      <w:r w:rsidRPr="00B832A3">
        <w:rPr>
          <w:rFonts w:ascii="Calibri" w:hAnsi="Calibri" w:cs="Calibri"/>
          <w:color w:val="000000"/>
          <w:szCs w:val="22"/>
        </w:rPr>
        <w:instrText xml:space="preserve"> AAPA Category 1 CME credits. PAs should only claim commensurate with the extent of their participation.</w:instrText>
      </w:r>
    </w:p>
    <w:p w:rsidR="00D45C98" w:rsidRPr="003A4ED3" w:rsidP="009A054D">
      <w:pPr>
        <w:autoSpaceDE w:val="0"/>
        <w:autoSpaceDN w:val="0"/>
        <w:adjustRightInd w:val="0"/>
        <w:contextualSpacing/>
        <w:rPr>
          <w:rFonts w:asciiTheme="majorHAnsi" w:hAnsiTheme="majorHAnsi"/>
        </w:rPr>
      </w:pPr>
      <w:r>
        <w:rPr>
          <w:rFonts w:ascii="Calibri" w:hAnsi="Calibri" w:cs="Calibri"/>
          <w:color w:val="000000"/>
          <w:sz w:val="22"/>
          <w:szCs w:val="22"/>
        </w:rPr>
        <w:instrText>" ""</w:instrText>
      </w:r>
      <w:r w:rsidR="008733B4">
        <w:rPr>
          <w:rFonts w:asciiTheme="majorHAnsi" w:hAnsiTheme="majorHAnsi"/>
          <w:color w:val="000000"/>
        </w:rPr>
        <w:instrText xml:space="preserve"> </w:instrText>
      </w:r>
      <w:r w:rsidR="008733B4">
        <w:rPr>
          <w:rFonts w:asciiTheme="majorHAnsi" w:hAnsiTheme="majorHAnsi"/>
          <w:color w:val="000000"/>
        </w:rPr>
        <w:fldChar w:fldCharType="separate"/>
      </w:r>
    </w:p>
    <w:p w:rsidR="009A054D" w:rsidRPr="00B832A3" w:rsidP="009A054D">
      <w:pPr>
        <w:autoSpaceDE w:val="0"/>
        <w:autoSpaceDN w:val="0"/>
        <w:adjustRightInd w:val="0"/>
        <w:contextualSpacing/>
        <w:rPr>
          <w:rFonts w:ascii="Calibri" w:hAnsi="Calibri" w:cs="Calibri"/>
          <w:color w:val="000000"/>
          <w:szCs w:val="22"/>
        </w:rPr>
      </w:pPr>
      <w:r w:rsidRPr="00B832A3">
        <w:rPr>
          <w:rFonts w:ascii="Calibri" w:hAnsi="Calibri" w:cs="Calibri"/>
          <w:b/>
          <w:color w:val="000000"/>
          <w:szCs w:val="22"/>
        </w:rPr>
        <w:t>American Academy of Physician Assistants (AAPA)</w:t>
      </w:r>
    </w:p>
    <w:p w:rsidR="009A054D" w:rsidRPr="00B832A3" w:rsidP="009A054D">
      <w:pPr>
        <w:autoSpaceDE w:val="0"/>
        <w:autoSpaceDN w:val="0"/>
        <w:adjustRightInd w:val="0"/>
        <w:contextualSpacing/>
        <w:rPr>
          <w:rFonts w:ascii="Calibri" w:hAnsi="Calibri" w:cs="Calibri"/>
          <w:color w:val="000000"/>
          <w:szCs w:val="22"/>
        </w:rPr>
      </w:pPr>
      <w:r w:rsidRPr="00B832A3">
        <w:rPr>
          <w:noProof/>
          <w:sz w:val="28"/>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654050" cy="631825"/>
            <wp:effectExtent l="0" t="0" r="0" b="0"/>
            <wp:wrapSquare wrapText="bothSides"/>
            <wp:docPr id="164268129" name="Picture 5" descr="https://www.aapa.org/wp-content/uploads/2022/06/aapa_Cat1_CME-30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pa.org/wp-content/uploads/2022/06/aapa_Cat1_CME-300x290.pn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654050" cy="631825"/>
                    </a:xfrm>
                    <a:prstGeom prst="rect">
                      <a:avLst/>
                    </a:prstGeom>
                    <a:noFill/>
                    <a:ln>
                      <a:noFill/>
                    </a:ln>
                  </pic:spPr>
                </pic:pic>
              </a:graphicData>
            </a:graphic>
          </wp:anchor>
        </w:drawing>
      </w:r>
      <w:r w:rsidRPr="00B832A3">
        <w:rPr>
          <w:rFonts w:ascii="Calibri" w:hAnsi="Calibri" w:cs="Calibri"/>
          <w:color w:val="000000"/>
          <w:szCs w:val="22"/>
        </w:rPr>
        <w:t>University of Minnesota, Interprofessional Continuing Education has been authorized by the American Academy of PAs (AAPA) to award AAPA Category 1 CME credit for activities planned in accordance with AAPA CME Criteria. This activity is designate</w:t>
      </w:r>
      <w:r w:rsidRPr="00B832A3">
        <w:rPr>
          <w:rFonts w:ascii="Calibri" w:hAnsi="Calibri" w:cs="Calibri"/>
          <w:color w:val="000000"/>
          <w:szCs w:val="22"/>
        </w:rPr>
        <w:t xml:space="preserve">d for </w:t>
      </w:r>
      <w:r w:rsidRPr="00B832A3">
        <w:rPr>
          <w:rFonts w:ascii="Calibri" w:hAnsi="Calibri" w:cs="Calibri"/>
          <w:noProof/>
          <w:color w:val="000000"/>
          <w:szCs w:val="22"/>
        </w:rPr>
        <w:t>2.50</w:t>
      </w:r>
      <w:r w:rsidRPr="00B832A3">
        <w:rPr>
          <w:rFonts w:ascii="Calibri" w:hAnsi="Calibri" w:cs="Calibri"/>
          <w:color w:val="000000"/>
          <w:szCs w:val="22"/>
        </w:rPr>
        <w:t xml:space="preserve"> AAPA Category 1 CME credits. PAs should only claim commensurate with the extent of their participation.</w:t>
      </w:r>
    </w:p>
    <w:p w:rsidR="008733B4" w:rsidP="009A054D">
      <w:pPr>
        <w:autoSpaceDE w:val="0"/>
        <w:autoSpaceDN w:val="0"/>
        <w:adjustRightInd w:val="0"/>
        <w:contextualSpacing/>
        <w:rPr>
          <w:rFonts w:asciiTheme="majorHAnsi" w:hAnsiTheme="majorHAnsi"/>
          <w:color w:val="000000"/>
        </w:rPr>
      </w:pPr>
      <w:r>
        <w:rPr>
          <w:rFonts w:asciiTheme="majorHAnsi" w:hAnsiTheme="majorHAnsi"/>
          <w:color w:val="000000"/>
        </w:rPr>
        <w:fldChar w:fldCharType="end"/>
      </w: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P="00B5749B">
      <w:pPr>
        <w:rPr>
          <w:rFonts w:ascii="Calibri" w:hAnsi="Calibri" w:cs="Calibri"/>
          <w:color w:val="000000"/>
        </w:rPr>
      </w:pPr>
    </w:p>
    <w:p w:rsidR="0076552E" w:rsidRPr="000B131F" w:rsidP="0076552E">
      <w:pPr>
        <w:pBdr>
          <w:top w:val="single" w:sz="4" w:space="1" w:color="auto"/>
          <w:left w:val="single" w:sz="4" w:space="4" w:color="auto"/>
          <w:bottom w:val="single" w:sz="4" w:space="1" w:color="auto"/>
          <w:right w:val="single" w:sz="4" w:space="4" w:color="auto"/>
        </w:pBdr>
        <w:rPr>
          <w:rFonts w:asciiTheme="majorHAnsi" w:hAnsiTheme="majorHAnsi"/>
          <w:i/>
          <w:color w:val="222222"/>
          <w:shd w:val="clear" w:color="auto" w:fill="FFFFFF"/>
        </w:rPr>
      </w:pPr>
      <w:r w:rsidRPr="003A4ED3">
        <w:rPr>
          <w:rFonts w:asciiTheme="majorHAnsi" w:hAnsiTheme="majorHAnsi"/>
          <w:b/>
          <w:bCs/>
          <w:i/>
          <w:color w:val="222222"/>
          <w:shd w:val="clear" w:color="auto" w:fill="FFFFFF"/>
        </w:rPr>
        <w:t>Attention all attendees: </w:t>
      </w:r>
      <w:r w:rsidRPr="000B131F">
        <w:rPr>
          <w:rFonts w:asciiTheme="majorHAnsi" w:hAnsiTheme="majorHAnsi"/>
          <w:i/>
          <w:color w:val="222222"/>
          <w:shd w:val="clear" w:color="auto" w:fill="FFFFFF"/>
        </w:rPr>
        <w:t>You must text your attendance or claim credit online within </w:t>
      </w:r>
      <w:r w:rsidRPr="000B131F">
        <w:rPr>
          <w:rFonts w:asciiTheme="majorHAnsi" w:hAnsiTheme="majorHAnsi"/>
          <w:b/>
          <w:bCs/>
          <w:i/>
          <w:color w:val="222222"/>
          <w:shd w:val="clear" w:color="auto" w:fill="FFFFFF"/>
        </w:rPr>
        <w:t>24 hours</w:t>
      </w:r>
      <w:r w:rsidRPr="000B131F">
        <w:rPr>
          <w:rFonts w:asciiTheme="majorHAnsi" w:hAnsiTheme="majorHAnsi"/>
          <w:i/>
          <w:color w:val="222222"/>
          <w:shd w:val="clear" w:color="auto" w:fill="FFFFFF"/>
        </w:rPr>
        <w:t> of each session. Detailed instructions, including the activity ID # you need, will be provided during the session.</w:t>
      </w:r>
    </w:p>
    <w:p w:rsidR="0076552E"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48192A" w:rsidP="00561B2E">
      <w:pPr>
        <w:rPr>
          <w:rFonts w:ascii="Calibri" w:hAnsi="Calibri"/>
          <w:i/>
        </w:rPr>
      </w:pPr>
      <w:r>
        <w:rPr>
          <w:rFonts w:ascii="Calibri" w:hAnsi="Calibri"/>
          <w:i/>
          <w:noProof/>
        </w:rPr>
        <w:t>University of</w:t>
      </w:r>
      <w:r>
        <w:rPr>
          <w:rFonts w:ascii="Calibri" w:hAnsi="Calibri"/>
          <w:i/>
        </w:rPr>
        <w:t xml:space="preserve"> Minnesota Continuing Professional Development adheres to the ACCME&amp;rsquo;s Standards for Integrity and Independence in Accredited Continuing Education and has policies in place to ensure balance, independence, objectivity and scientific rigor in all of its educational activities. Any individuals in a position to control the content of a CE activity, including faculty, planners, reviewers or others are required to disclose all financial relationships with ineligible entities; individuals who fail to complete the disclosure in advance of the course are not eligible to be involved in this course. Specific disclosure information will be shared with learners prior to the start of the course. All relevant conflicts of interest have been mitigated prior to the commencement of the activity.</w:t>
      </w:r>
    </w:p>
    <w:p w:rsidR="00363913" w:rsidRPr="0048192A" w:rsidP="00561B2E">
      <w:pPr>
        <w:rPr>
          <w:rFonts w:ascii="Calibri" w:hAnsi="Calibri"/>
        </w:rPr>
      </w:pPr>
    </w:p>
    <w:p w:rsidR="008B21B4" w:rsidRPr="0048192A" w:rsidP="00561B2E">
      <w:pPr>
        <w:rPr>
          <w:rFonts w:ascii="Calibri" w:hAnsi="Calibri"/>
        </w:rPr>
      </w:pPr>
      <w:r w:rsidRPr="0048192A">
        <w:rPr>
          <w:rFonts w:ascii="Calibri" w:hAnsi="Calibri"/>
        </w:rPr>
        <w:t xml:space="preserve">The planners, moderators or speakers have the following financial relationship(s) with </w:t>
      </w:r>
      <w:r>
        <w:rPr>
          <w:rFonts w:ascii="Calibri" w:hAnsi="Calibri"/>
        </w:rPr>
        <w:t xml:space="preserve">ACCME-defined </w:t>
      </w:r>
      <w:r w:rsidR="0048192A">
        <w:rPr>
          <w:rFonts w:ascii="Calibri" w:hAnsi="Calibri"/>
        </w:rPr>
        <w:t xml:space="preserve">ineligible </w:t>
      </w:r>
      <w:r>
        <w:rPr>
          <w:rFonts w:ascii="Calibri" w:hAnsi="Calibri"/>
        </w:rPr>
        <w:t>companies</w:t>
      </w:r>
      <w:r w:rsidR="005662A7">
        <w:rPr>
          <w:rFonts w:ascii="Calibri" w:hAnsi="Calibri"/>
        </w:rPr>
        <w:t xml:space="preserve"> </w:t>
      </w:r>
      <w:r w:rsidRPr="0048192A">
        <w:rPr>
          <w:rFonts w:ascii="Calibri" w:hAnsi="Calibri"/>
        </w:rPr>
        <w:t>to disclose:</w:t>
      </w:r>
    </w:p>
    <w:p w:rsidR="00561B2E" w:rsidRPr="008B21B4"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Rosemary F Kelly,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Soule,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consultant-Vascudyne - 05/11/2023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Leah Jensen,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Chad Engelhart,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- 05/15/2023</w:t>
            </w:r>
          </w:p>
        </w:tc>
      </w:tr>
    </w:tbl>
    <w:p>
      <w:pPr>
        <w:bidi w:val="0"/>
        <w:spacing w:after="280" w:afterAutospacing="1"/>
        <w:rPr>
          <w:rtl w:val="0"/>
        </w:rPr>
      </w:pPr>
      <w:r w:rsidRPr="003A3CD9">
        <w:rPr>
          <w:rFonts w:ascii="Calibri" w:hAnsi="Calibri"/>
          <w:i/>
        </w:rPr>
        <w:tab/>
      </w:r>
    </w:p>
    <w:sectPr w:rsidSect="00561B2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table" w:styleId="TableGrid">
    <w:name w:val="Table Grid"/>
    <w:basedOn w:val="TableNormal"/>
    <w:rsid w:val="00E1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Carola Kulow</cp:lastModifiedBy>
  <cp:revision>12</cp:revision>
  <dcterms:created xsi:type="dcterms:W3CDTF">2022-07-29T19:28:00Z</dcterms:created>
  <dcterms:modified xsi:type="dcterms:W3CDTF">2023-05-15T18:06:00Z</dcterms:modified>
</cp:coreProperties>
</file>